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152A" w:rsidRPr="00DF708D" w:rsidRDefault="0065152A" w:rsidP="00DF708D">
      <w:pPr>
        <w:spacing w:line="480" w:lineRule="auto"/>
        <w:jc w:val="center"/>
        <w:rPr>
          <w:rFonts w:ascii="Times New Roman" w:hAnsi="Times New Roman" w:cs="Times New Roman"/>
          <w:sz w:val="24"/>
          <w:szCs w:val="24"/>
        </w:rPr>
      </w:pPr>
    </w:p>
    <w:p w:rsidR="007F5F05" w:rsidRPr="00DF708D" w:rsidRDefault="007F5F05" w:rsidP="00DF708D">
      <w:pPr>
        <w:spacing w:line="480" w:lineRule="auto"/>
        <w:jc w:val="center"/>
        <w:rPr>
          <w:rFonts w:ascii="Times New Roman" w:hAnsi="Times New Roman" w:cs="Times New Roman"/>
          <w:sz w:val="24"/>
          <w:szCs w:val="24"/>
        </w:rPr>
      </w:pPr>
    </w:p>
    <w:p w:rsidR="007F5F05" w:rsidRPr="00DF708D" w:rsidRDefault="007F5F05" w:rsidP="00DF708D">
      <w:pPr>
        <w:spacing w:line="480" w:lineRule="auto"/>
        <w:jc w:val="center"/>
        <w:rPr>
          <w:rFonts w:ascii="Times New Roman" w:hAnsi="Times New Roman" w:cs="Times New Roman"/>
          <w:sz w:val="24"/>
          <w:szCs w:val="24"/>
        </w:rPr>
      </w:pPr>
    </w:p>
    <w:p w:rsidR="00DF708D" w:rsidRDefault="00DF708D" w:rsidP="003E6277">
      <w:pPr>
        <w:spacing w:line="480" w:lineRule="auto"/>
        <w:rPr>
          <w:rFonts w:ascii="Times New Roman" w:hAnsi="Times New Roman" w:cs="Times New Roman"/>
          <w:sz w:val="24"/>
          <w:szCs w:val="24"/>
        </w:rPr>
      </w:pPr>
    </w:p>
    <w:p w:rsidR="00DF708D" w:rsidRDefault="00DF708D" w:rsidP="00DF708D">
      <w:pPr>
        <w:spacing w:line="480" w:lineRule="auto"/>
        <w:jc w:val="center"/>
        <w:rPr>
          <w:rFonts w:ascii="Times New Roman" w:hAnsi="Times New Roman" w:cs="Times New Roman"/>
          <w:sz w:val="24"/>
          <w:szCs w:val="24"/>
        </w:rPr>
      </w:pPr>
    </w:p>
    <w:p w:rsidR="00DF708D" w:rsidRPr="00DF708D" w:rsidRDefault="00DF708D" w:rsidP="00DF708D">
      <w:pPr>
        <w:spacing w:line="480" w:lineRule="auto"/>
        <w:jc w:val="center"/>
        <w:rPr>
          <w:rFonts w:ascii="Times New Roman" w:hAnsi="Times New Roman" w:cs="Times New Roman"/>
          <w:sz w:val="24"/>
          <w:szCs w:val="24"/>
        </w:rPr>
      </w:pPr>
    </w:p>
    <w:p w:rsidR="0065152A" w:rsidRPr="00DF708D" w:rsidRDefault="0065152A"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t>The Patient Protection and Affordable Act</w:t>
      </w:r>
    </w:p>
    <w:p w:rsidR="007F5F05" w:rsidRPr="00DF708D" w:rsidRDefault="0065152A"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t>Student Affiliation</w:t>
      </w:r>
    </w:p>
    <w:p w:rsidR="007F5F05" w:rsidRPr="00DF708D" w:rsidRDefault="007F5F05"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t>Institution Affiliation</w:t>
      </w:r>
    </w:p>
    <w:p w:rsidR="00DF708D" w:rsidRDefault="007F5F05"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t>Date</w:t>
      </w:r>
    </w:p>
    <w:p w:rsidR="0065152A" w:rsidRPr="00DF708D" w:rsidRDefault="0065152A"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br w:type="page"/>
      </w:r>
    </w:p>
    <w:p w:rsidR="0065152A" w:rsidRPr="00DF708D" w:rsidRDefault="0065152A" w:rsidP="00DF708D">
      <w:pPr>
        <w:spacing w:line="480" w:lineRule="auto"/>
        <w:jc w:val="center"/>
        <w:rPr>
          <w:rFonts w:ascii="Times New Roman" w:hAnsi="Times New Roman" w:cs="Times New Roman"/>
          <w:sz w:val="24"/>
          <w:szCs w:val="24"/>
        </w:rPr>
      </w:pPr>
      <w:r w:rsidRPr="00DF708D">
        <w:rPr>
          <w:rFonts w:ascii="Times New Roman" w:hAnsi="Times New Roman" w:cs="Times New Roman"/>
          <w:sz w:val="24"/>
          <w:szCs w:val="24"/>
        </w:rPr>
        <w:lastRenderedPageBreak/>
        <w:t>The Patient Protection and Affordable Act</w:t>
      </w:r>
    </w:p>
    <w:p w:rsidR="007F5F05" w:rsidRPr="00DF708D" w:rsidRDefault="0089223F" w:rsidP="00DF70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sidRPr="00DF708D">
        <w:rPr>
          <w:rFonts w:ascii="Times New Roman" w:hAnsi="Times New Roman" w:cs="Times New Roman"/>
          <w:sz w:val="24"/>
          <w:szCs w:val="24"/>
        </w:rPr>
        <w:t xml:space="preserve">Patient Protection and Affordable Act </w:t>
      </w:r>
      <w:r>
        <w:rPr>
          <w:rFonts w:ascii="Times New Roman" w:hAnsi="Times New Roman" w:cs="Times New Roman"/>
          <w:sz w:val="24"/>
          <w:szCs w:val="24"/>
        </w:rPr>
        <w:t>e also known as the Affordable Care A</w:t>
      </w:r>
      <w:r w:rsidR="007F5F05" w:rsidRPr="00DF708D">
        <w:rPr>
          <w:rFonts w:ascii="Times New Roman" w:hAnsi="Times New Roman" w:cs="Times New Roman"/>
          <w:sz w:val="24"/>
          <w:szCs w:val="24"/>
        </w:rPr>
        <w:t>ct became a law in 2010 but later implemented in 2014. The law underwent various changes before it was officially implemented in 2014. Some of these changes include the introduction of employer responsibility provision, the Medicaid expansion as well as the state health insurance exchanges. The objectives of the implementation of this policy were to ensure universal coverage through shared responsibility and to improve fairne</w:t>
      </w:r>
      <w:r>
        <w:rPr>
          <w:rFonts w:ascii="Times New Roman" w:hAnsi="Times New Roman" w:cs="Times New Roman"/>
          <w:sz w:val="24"/>
          <w:szCs w:val="24"/>
        </w:rPr>
        <w:t>ss as well as affordability o</w:t>
      </w:r>
      <w:r w:rsidR="007F5F05" w:rsidRPr="00DF708D">
        <w:rPr>
          <w:rFonts w:ascii="Times New Roman" w:hAnsi="Times New Roman" w:cs="Times New Roman"/>
          <w:sz w:val="24"/>
          <w:szCs w:val="24"/>
        </w:rPr>
        <w:t>f the insurance. Other objectives of this policy include enhancing health-care value as well as efficiency while ensuring a reduction in wasteful spending in the healthcare system</w:t>
      </w:r>
      <w:r w:rsidR="00DF708D" w:rsidRPr="00DF708D">
        <w:rPr>
          <w:rFonts w:ascii="Times New Roman" w:hAnsi="Times New Roman" w:cs="Times New Roman"/>
          <w:color w:val="222222"/>
          <w:sz w:val="24"/>
          <w:szCs w:val="24"/>
          <w:shd w:val="clear" w:color="auto" w:fill="FFFFFF"/>
        </w:rPr>
        <w:t xml:space="preserve"> (Han et al., 2018)</w:t>
      </w:r>
      <w:r w:rsidR="00DF708D" w:rsidRPr="00DF708D">
        <w:rPr>
          <w:rFonts w:ascii="Times New Roman" w:hAnsi="Times New Roman" w:cs="Times New Roman"/>
          <w:sz w:val="24"/>
          <w:szCs w:val="24"/>
        </w:rPr>
        <w:t xml:space="preserve">. </w:t>
      </w:r>
      <w:r w:rsidR="007F5F05" w:rsidRPr="00DF708D">
        <w:rPr>
          <w:rFonts w:ascii="Times New Roman" w:hAnsi="Times New Roman" w:cs="Times New Roman"/>
          <w:sz w:val="24"/>
          <w:szCs w:val="24"/>
        </w:rPr>
        <w:t>By undergoing numerous reformations, the policy has strengthened the existing types of insurance coverage. The series of reformations has not only impacted the healthcare sector but also affect</w:t>
      </w:r>
      <w:r>
        <w:rPr>
          <w:rFonts w:ascii="Times New Roman" w:hAnsi="Times New Roman" w:cs="Times New Roman"/>
          <w:sz w:val="24"/>
          <w:szCs w:val="24"/>
        </w:rPr>
        <w:t>ed</w:t>
      </w:r>
      <w:r w:rsidR="007F5F05" w:rsidRPr="00DF708D">
        <w:rPr>
          <w:rFonts w:ascii="Times New Roman" w:hAnsi="Times New Roman" w:cs="Times New Roman"/>
          <w:sz w:val="24"/>
          <w:szCs w:val="24"/>
        </w:rPr>
        <w:t xml:space="preserve"> the health of the general family</w:t>
      </w:r>
      <w:r w:rsidR="00DF708D" w:rsidRPr="00DF708D">
        <w:rPr>
          <w:rFonts w:ascii="Times New Roman" w:hAnsi="Times New Roman" w:cs="Times New Roman"/>
          <w:sz w:val="24"/>
          <w:szCs w:val="24"/>
        </w:rPr>
        <w:t>.</w:t>
      </w:r>
    </w:p>
    <w:p w:rsidR="007F5F05" w:rsidRPr="00DF708D" w:rsidRDefault="007F5F05" w:rsidP="00DF708D">
      <w:pPr>
        <w:spacing w:line="480" w:lineRule="auto"/>
        <w:ind w:firstLine="720"/>
        <w:rPr>
          <w:rFonts w:ascii="Times New Roman" w:hAnsi="Times New Roman" w:cs="Times New Roman"/>
          <w:sz w:val="24"/>
          <w:szCs w:val="24"/>
        </w:rPr>
      </w:pPr>
      <w:r w:rsidRPr="00DF708D">
        <w:rPr>
          <w:rFonts w:ascii="Times New Roman" w:hAnsi="Times New Roman" w:cs="Times New Roman"/>
          <w:sz w:val="24"/>
          <w:szCs w:val="24"/>
        </w:rPr>
        <w:t>The policy discourages the smoker</w:t>
      </w:r>
      <w:r w:rsidR="0089223F">
        <w:rPr>
          <w:rFonts w:ascii="Times New Roman" w:hAnsi="Times New Roman" w:cs="Times New Roman"/>
          <w:sz w:val="24"/>
          <w:szCs w:val="24"/>
        </w:rPr>
        <w:t>s</w:t>
      </w:r>
      <w:r w:rsidRPr="00DF708D">
        <w:rPr>
          <w:rFonts w:ascii="Times New Roman" w:hAnsi="Times New Roman" w:cs="Times New Roman"/>
          <w:sz w:val="24"/>
          <w:szCs w:val="24"/>
        </w:rPr>
        <w:t xml:space="preserve"> from purchasing the insurance coverage because of the need for the extra charges. The smokers are expected to pay for an extra fee because their health problem is brought about by their social life choice thus posing further problems to the family. Instead of being fair for everyone, the act has been criticized for not being universal for every American</w:t>
      </w:r>
      <w:r w:rsidR="00DF708D" w:rsidRPr="00DF708D">
        <w:rPr>
          <w:rFonts w:ascii="Times New Roman" w:hAnsi="Times New Roman" w:cs="Times New Roman"/>
          <w:color w:val="222222"/>
          <w:sz w:val="24"/>
          <w:szCs w:val="24"/>
          <w:shd w:val="clear" w:color="auto" w:fill="FFFFFF"/>
        </w:rPr>
        <w:t xml:space="preserve"> (Frenchet al., 2016)</w:t>
      </w:r>
      <w:r w:rsidRPr="00DF708D">
        <w:rPr>
          <w:rFonts w:ascii="Times New Roman" w:hAnsi="Times New Roman" w:cs="Times New Roman"/>
          <w:sz w:val="24"/>
          <w:szCs w:val="24"/>
        </w:rPr>
        <w:t>. Also, it is believed that the families may take advantage of the free offered services if not regulated in the policy. For instance, smoking cessation is a program documented in the policy that intends to help individuals to refrain from excessive smoking which may result in health complications. However, the policy has reinforced other requirements to ensure the insurers pay a smaller fee because the program is impactful. The implementation of this policy has resulted in various changes, especially for</w:t>
      </w:r>
      <w:r w:rsidR="00DF708D" w:rsidRPr="00DF708D">
        <w:rPr>
          <w:rFonts w:ascii="Times New Roman" w:hAnsi="Times New Roman" w:cs="Times New Roman"/>
          <w:sz w:val="24"/>
          <w:szCs w:val="24"/>
        </w:rPr>
        <w:t xml:space="preserve"> low-income people and families</w:t>
      </w:r>
      <w:r w:rsidR="00DF708D" w:rsidRPr="00DF708D">
        <w:rPr>
          <w:rFonts w:ascii="Times New Roman" w:hAnsi="Times New Roman" w:cs="Times New Roman"/>
          <w:color w:val="222222"/>
          <w:sz w:val="24"/>
          <w:szCs w:val="24"/>
          <w:shd w:val="clear" w:color="auto" w:fill="FFFFFF"/>
        </w:rPr>
        <w:t>.</w:t>
      </w:r>
    </w:p>
    <w:p w:rsidR="007F5F05" w:rsidRPr="00DF708D" w:rsidRDefault="007F5F05" w:rsidP="00DF708D">
      <w:pPr>
        <w:spacing w:line="480" w:lineRule="auto"/>
        <w:ind w:firstLine="720"/>
        <w:rPr>
          <w:rFonts w:ascii="Times New Roman" w:hAnsi="Times New Roman" w:cs="Times New Roman"/>
          <w:sz w:val="24"/>
          <w:szCs w:val="24"/>
        </w:rPr>
      </w:pPr>
      <w:r w:rsidRPr="00DF708D">
        <w:rPr>
          <w:rFonts w:ascii="Times New Roman" w:hAnsi="Times New Roman" w:cs="Times New Roman"/>
          <w:sz w:val="24"/>
          <w:szCs w:val="24"/>
        </w:rPr>
        <w:lastRenderedPageBreak/>
        <w:t>The involvement of the family of the patient in designing the healthcare service is very essential in improving the health outcome. Patient and family involvement is defined by healthcare providers as working together to promote healthcare outcomes as well as t</w:t>
      </w:r>
      <w:r w:rsidR="0089223F">
        <w:rPr>
          <w:rFonts w:ascii="Times New Roman" w:hAnsi="Times New Roman" w:cs="Times New Roman"/>
          <w:sz w:val="24"/>
          <w:szCs w:val="24"/>
        </w:rPr>
        <w:t>o</w:t>
      </w:r>
      <w:r w:rsidRPr="00DF708D">
        <w:rPr>
          <w:rFonts w:ascii="Times New Roman" w:hAnsi="Times New Roman" w:cs="Times New Roman"/>
          <w:sz w:val="24"/>
          <w:szCs w:val="24"/>
        </w:rPr>
        <w:t xml:space="preserve"> influence healthcare decisions for quality service delivery. Family involvement is making a difference for individuals’ health and illness because the family has insights as well as the valuable view that are vital in bringing up a change in the health of the patient. Family involvement can be impactful in decision making as it will help in planning or designing the strategy to use while providing care</w:t>
      </w:r>
      <w:r w:rsidR="00DF708D" w:rsidRPr="00DF708D">
        <w:rPr>
          <w:rFonts w:ascii="Times New Roman" w:hAnsi="Times New Roman" w:cs="Times New Roman"/>
          <w:color w:val="222222"/>
          <w:sz w:val="24"/>
          <w:szCs w:val="24"/>
          <w:shd w:val="clear" w:color="auto" w:fill="FFFFFF"/>
        </w:rPr>
        <w:t xml:space="preserve"> (Herrin et al., 2016)</w:t>
      </w:r>
      <w:r w:rsidRPr="00DF708D">
        <w:rPr>
          <w:rFonts w:ascii="Times New Roman" w:hAnsi="Times New Roman" w:cs="Times New Roman"/>
          <w:sz w:val="24"/>
          <w:szCs w:val="24"/>
        </w:rPr>
        <w:t xml:space="preserve">. The majority of the healthcare providers have demonstrated the importance of engaging the family of the patient in redesigning the initiative. Family engagement takes various forms and may be considered for different reasons. From a direct care point of view, family engagement entails involving the family in deciding on the patient’s diagnosis and treatment. The involvement of both the family and patient in the decision-making process has been considered democratic because the two pays for services via taxation. </w:t>
      </w:r>
    </w:p>
    <w:p w:rsidR="007F5F05" w:rsidRPr="00DF708D" w:rsidRDefault="007F5F05" w:rsidP="00DF708D">
      <w:pPr>
        <w:spacing w:line="480" w:lineRule="auto"/>
        <w:ind w:firstLine="720"/>
        <w:rPr>
          <w:rFonts w:ascii="Times New Roman" w:hAnsi="Times New Roman" w:cs="Times New Roman"/>
          <w:sz w:val="24"/>
          <w:szCs w:val="24"/>
        </w:rPr>
      </w:pPr>
      <w:r w:rsidRPr="00DF708D">
        <w:rPr>
          <w:rFonts w:ascii="Times New Roman" w:hAnsi="Times New Roman" w:cs="Times New Roman"/>
          <w:sz w:val="24"/>
          <w:szCs w:val="24"/>
        </w:rPr>
        <w:t>In conclusion, the healthcare sectors have implemented various policies to guide the providers to offer quality healthcare. Patient p</w:t>
      </w:r>
      <w:r w:rsidR="0089223F">
        <w:rPr>
          <w:rFonts w:ascii="Times New Roman" w:hAnsi="Times New Roman" w:cs="Times New Roman"/>
          <w:sz w:val="24"/>
          <w:szCs w:val="24"/>
        </w:rPr>
        <w:t>rotection and affordable act is</w:t>
      </w:r>
      <w:r w:rsidRPr="00DF708D">
        <w:rPr>
          <w:rFonts w:ascii="Times New Roman" w:hAnsi="Times New Roman" w:cs="Times New Roman"/>
          <w:sz w:val="24"/>
          <w:szCs w:val="24"/>
        </w:rPr>
        <w:t xml:space="preserve"> one of the policies that have undergone various changes to improve care delivery</w:t>
      </w:r>
      <w:r w:rsidR="00DF708D" w:rsidRPr="00DF708D">
        <w:rPr>
          <w:rFonts w:ascii="Times New Roman" w:hAnsi="Times New Roman" w:cs="Times New Roman"/>
          <w:color w:val="222222"/>
          <w:sz w:val="24"/>
          <w:szCs w:val="24"/>
          <w:shd w:val="clear" w:color="auto" w:fill="FFFFFF"/>
        </w:rPr>
        <w:t xml:space="preserve"> (Davidoff et al., 2018)</w:t>
      </w:r>
      <w:r w:rsidRPr="00DF708D">
        <w:rPr>
          <w:rFonts w:ascii="Times New Roman" w:hAnsi="Times New Roman" w:cs="Times New Roman"/>
          <w:sz w:val="24"/>
          <w:szCs w:val="24"/>
        </w:rPr>
        <w:t>. However, the policy has been criticized as it has failed to meet some of its requirements. Also, the act has affected families differently, especially, lower-income families. Involving the family in the provision of care is essential as it will help in providing relevant information that will aid decision making.</w:t>
      </w:r>
    </w:p>
    <w:p w:rsidR="003E6277" w:rsidRDefault="003E6277" w:rsidP="00DF708D">
      <w:pPr>
        <w:spacing w:line="480" w:lineRule="auto"/>
        <w:ind w:firstLine="720"/>
        <w:jc w:val="center"/>
        <w:rPr>
          <w:rFonts w:ascii="Times New Roman" w:hAnsi="Times New Roman" w:cs="Times New Roman"/>
          <w:sz w:val="24"/>
          <w:szCs w:val="24"/>
        </w:rPr>
      </w:pPr>
    </w:p>
    <w:p w:rsidR="003E6277" w:rsidRDefault="003E6277" w:rsidP="00DF708D">
      <w:pPr>
        <w:spacing w:line="480" w:lineRule="auto"/>
        <w:ind w:firstLine="720"/>
        <w:jc w:val="center"/>
        <w:rPr>
          <w:rFonts w:ascii="Times New Roman" w:hAnsi="Times New Roman" w:cs="Times New Roman"/>
          <w:sz w:val="24"/>
          <w:szCs w:val="24"/>
        </w:rPr>
      </w:pPr>
    </w:p>
    <w:p w:rsidR="007F5F05" w:rsidRPr="00DF708D" w:rsidRDefault="007F5F05" w:rsidP="00DF708D">
      <w:pPr>
        <w:spacing w:line="480" w:lineRule="auto"/>
        <w:ind w:firstLine="720"/>
        <w:jc w:val="center"/>
        <w:rPr>
          <w:rFonts w:ascii="Times New Roman" w:hAnsi="Times New Roman" w:cs="Times New Roman"/>
          <w:sz w:val="24"/>
          <w:szCs w:val="24"/>
        </w:rPr>
      </w:pPr>
      <w:r w:rsidRPr="00DF708D">
        <w:rPr>
          <w:rFonts w:ascii="Times New Roman" w:hAnsi="Times New Roman" w:cs="Times New Roman"/>
          <w:sz w:val="24"/>
          <w:szCs w:val="24"/>
        </w:rPr>
        <w:lastRenderedPageBreak/>
        <w:t>References</w:t>
      </w:r>
    </w:p>
    <w:p w:rsidR="00DF708D" w:rsidRPr="00DF708D" w:rsidRDefault="00DF708D" w:rsidP="00DF708D">
      <w:pPr>
        <w:spacing w:line="480" w:lineRule="auto"/>
        <w:ind w:left="720" w:hanging="720"/>
        <w:rPr>
          <w:rFonts w:ascii="Times New Roman" w:hAnsi="Times New Roman" w:cs="Times New Roman"/>
          <w:color w:val="222222"/>
          <w:sz w:val="24"/>
          <w:szCs w:val="24"/>
          <w:shd w:val="clear" w:color="auto" w:fill="FFFFFF"/>
        </w:rPr>
      </w:pPr>
      <w:r w:rsidRPr="00DF708D">
        <w:rPr>
          <w:rFonts w:ascii="Times New Roman" w:hAnsi="Times New Roman" w:cs="Times New Roman"/>
          <w:color w:val="222222"/>
          <w:sz w:val="24"/>
          <w:szCs w:val="24"/>
          <w:shd w:val="clear" w:color="auto" w:fill="FFFFFF"/>
        </w:rPr>
        <w:t>Davidoff, A. J., Guy Jr, G. P., Hu, X., Gonzales, F., Han, X., Zheng, Z., ... &amp; Jemal, A. (2018). Changes in health insurance coverage associated with the affordable care act among adults with and without a cancer history: population-based national estimates. </w:t>
      </w:r>
      <w:r w:rsidRPr="00DF708D">
        <w:rPr>
          <w:rFonts w:ascii="Times New Roman" w:hAnsi="Times New Roman" w:cs="Times New Roman"/>
          <w:i/>
          <w:iCs/>
          <w:color w:val="222222"/>
          <w:sz w:val="24"/>
          <w:szCs w:val="24"/>
          <w:shd w:val="clear" w:color="auto" w:fill="FFFFFF"/>
        </w:rPr>
        <w:t>Medical care</w:t>
      </w:r>
      <w:r w:rsidRPr="00DF708D">
        <w:rPr>
          <w:rFonts w:ascii="Times New Roman" w:hAnsi="Times New Roman" w:cs="Times New Roman"/>
          <w:color w:val="222222"/>
          <w:sz w:val="24"/>
          <w:szCs w:val="24"/>
          <w:shd w:val="clear" w:color="auto" w:fill="FFFFFF"/>
        </w:rPr>
        <w:t>, </w:t>
      </w:r>
      <w:r w:rsidRPr="00DF708D">
        <w:rPr>
          <w:rFonts w:ascii="Times New Roman" w:hAnsi="Times New Roman" w:cs="Times New Roman"/>
          <w:i/>
          <w:iCs/>
          <w:color w:val="222222"/>
          <w:sz w:val="24"/>
          <w:szCs w:val="24"/>
          <w:shd w:val="clear" w:color="auto" w:fill="FFFFFF"/>
        </w:rPr>
        <w:t>56</w:t>
      </w:r>
      <w:r w:rsidRPr="00DF708D">
        <w:rPr>
          <w:rFonts w:ascii="Times New Roman" w:hAnsi="Times New Roman" w:cs="Times New Roman"/>
          <w:color w:val="222222"/>
          <w:sz w:val="24"/>
          <w:szCs w:val="24"/>
          <w:shd w:val="clear" w:color="auto" w:fill="FFFFFF"/>
        </w:rPr>
        <w:t>(3), 220.</w:t>
      </w:r>
    </w:p>
    <w:p w:rsidR="00DF708D" w:rsidRPr="00DF708D" w:rsidRDefault="00DF708D" w:rsidP="00DF708D">
      <w:pPr>
        <w:spacing w:line="480" w:lineRule="auto"/>
        <w:ind w:left="720" w:hanging="720"/>
        <w:rPr>
          <w:rFonts w:ascii="Times New Roman" w:hAnsi="Times New Roman" w:cs="Times New Roman"/>
          <w:color w:val="222222"/>
          <w:sz w:val="24"/>
          <w:szCs w:val="24"/>
          <w:shd w:val="clear" w:color="auto" w:fill="FFFFFF"/>
        </w:rPr>
      </w:pPr>
      <w:r w:rsidRPr="00DF708D">
        <w:rPr>
          <w:rFonts w:ascii="Times New Roman" w:hAnsi="Times New Roman" w:cs="Times New Roman"/>
          <w:color w:val="222222"/>
          <w:sz w:val="24"/>
          <w:szCs w:val="24"/>
          <w:shd w:val="clear" w:color="auto" w:fill="FFFFFF"/>
        </w:rPr>
        <w:t>French, M. T., Homer, J., Gumus, G., &amp; Hickling, L. (2016). Key provisions of the Patient Protection and Affordable Care Act (ACA): a systematic review and presentation of early research findings. </w:t>
      </w:r>
      <w:r w:rsidRPr="00DF708D">
        <w:rPr>
          <w:rFonts w:ascii="Times New Roman" w:hAnsi="Times New Roman" w:cs="Times New Roman"/>
          <w:i/>
          <w:iCs/>
          <w:color w:val="222222"/>
          <w:sz w:val="24"/>
          <w:szCs w:val="24"/>
          <w:shd w:val="clear" w:color="auto" w:fill="FFFFFF"/>
        </w:rPr>
        <w:t>Health services research</w:t>
      </w:r>
      <w:r w:rsidRPr="00DF708D">
        <w:rPr>
          <w:rFonts w:ascii="Times New Roman" w:hAnsi="Times New Roman" w:cs="Times New Roman"/>
          <w:color w:val="222222"/>
          <w:sz w:val="24"/>
          <w:szCs w:val="24"/>
          <w:shd w:val="clear" w:color="auto" w:fill="FFFFFF"/>
        </w:rPr>
        <w:t>, </w:t>
      </w:r>
      <w:r w:rsidRPr="00DF708D">
        <w:rPr>
          <w:rFonts w:ascii="Times New Roman" w:hAnsi="Times New Roman" w:cs="Times New Roman"/>
          <w:i/>
          <w:iCs/>
          <w:color w:val="222222"/>
          <w:sz w:val="24"/>
          <w:szCs w:val="24"/>
          <w:shd w:val="clear" w:color="auto" w:fill="FFFFFF"/>
        </w:rPr>
        <w:t>51</w:t>
      </w:r>
      <w:r w:rsidRPr="00DF708D">
        <w:rPr>
          <w:rFonts w:ascii="Times New Roman" w:hAnsi="Times New Roman" w:cs="Times New Roman"/>
          <w:color w:val="222222"/>
          <w:sz w:val="24"/>
          <w:szCs w:val="24"/>
          <w:shd w:val="clear" w:color="auto" w:fill="FFFFFF"/>
        </w:rPr>
        <w:t>(5), 1735-1771.</w:t>
      </w:r>
    </w:p>
    <w:p w:rsidR="00DF708D" w:rsidRPr="00DF708D" w:rsidRDefault="00DF708D" w:rsidP="00DF708D">
      <w:pPr>
        <w:spacing w:line="480" w:lineRule="auto"/>
        <w:ind w:left="720" w:hanging="720"/>
        <w:rPr>
          <w:rFonts w:ascii="Times New Roman" w:hAnsi="Times New Roman" w:cs="Times New Roman"/>
          <w:color w:val="222222"/>
          <w:sz w:val="24"/>
          <w:szCs w:val="24"/>
          <w:shd w:val="clear" w:color="auto" w:fill="FFFFFF"/>
        </w:rPr>
      </w:pPr>
      <w:r w:rsidRPr="00DF708D">
        <w:rPr>
          <w:rFonts w:ascii="Times New Roman" w:hAnsi="Times New Roman" w:cs="Times New Roman"/>
          <w:color w:val="222222"/>
          <w:sz w:val="24"/>
          <w:szCs w:val="24"/>
          <w:shd w:val="clear" w:color="auto" w:fill="FFFFFF"/>
        </w:rPr>
        <w:t>Han, X., Yabroff, K. R., Ward, E., Brawley, O. W., &amp; Jemal, A. (2018). Comparison of insurance status and diagnosis stage among patients with newly diagnosed cancer before vs after implementation of the Patient Protection and Affordable Care Act. </w:t>
      </w:r>
      <w:r w:rsidRPr="00DF708D">
        <w:rPr>
          <w:rFonts w:ascii="Times New Roman" w:hAnsi="Times New Roman" w:cs="Times New Roman"/>
          <w:i/>
          <w:iCs/>
          <w:color w:val="222222"/>
          <w:sz w:val="24"/>
          <w:szCs w:val="24"/>
          <w:shd w:val="clear" w:color="auto" w:fill="FFFFFF"/>
        </w:rPr>
        <w:t>JAMA oncology</w:t>
      </w:r>
      <w:r w:rsidRPr="00DF708D">
        <w:rPr>
          <w:rFonts w:ascii="Times New Roman" w:hAnsi="Times New Roman" w:cs="Times New Roman"/>
          <w:color w:val="222222"/>
          <w:sz w:val="24"/>
          <w:szCs w:val="24"/>
          <w:shd w:val="clear" w:color="auto" w:fill="FFFFFF"/>
        </w:rPr>
        <w:t>, </w:t>
      </w:r>
      <w:r w:rsidRPr="00DF708D">
        <w:rPr>
          <w:rFonts w:ascii="Times New Roman" w:hAnsi="Times New Roman" w:cs="Times New Roman"/>
          <w:i/>
          <w:iCs/>
          <w:color w:val="222222"/>
          <w:sz w:val="24"/>
          <w:szCs w:val="24"/>
          <w:shd w:val="clear" w:color="auto" w:fill="FFFFFF"/>
        </w:rPr>
        <w:t>4</w:t>
      </w:r>
      <w:r w:rsidRPr="00DF708D">
        <w:rPr>
          <w:rFonts w:ascii="Times New Roman" w:hAnsi="Times New Roman" w:cs="Times New Roman"/>
          <w:color w:val="222222"/>
          <w:sz w:val="24"/>
          <w:szCs w:val="24"/>
          <w:shd w:val="clear" w:color="auto" w:fill="FFFFFF"/>
        </w:rPr>
        <w:t>(12), 1713-1720.</w:t>
      </w:r>
    </w:p>
    <w:p w:rsidR="00DF708D" w:rsidRPr="00DF708D" w:rsidRDefault="00DF708D" w:rsidP="00DF708D">
      <w:pPr>
        <w:spacing w:line="480" w:lineRule="auto"/>
        <w:ind w:left="720" w:hanging="720"/>
        <w:rPr>
          <w:rFonts w:ascii="Times New Roman" w:hAnsi="Times New Roman" w:cs="Times New Roman"/>
          <w:sz w:val="24"/>
          <w:szCs w:val="24"/>
        </w:rPr>
      </w:pPr>
      <w:r w:rsidRPr="00DF708D">
        <w:rPr>
          <w:rFonts w:ascii="Times New Roman" w:hAnsi="Times New Roman" w:cs="Times New Roman"/>
          <w:color w:val="222222"/>
          <w:sz w:val="24"/>
          <w:szCs w:val="24"/>
          <w:shd w:val="clear" w:color="auto" w:fill="FFFFFF"/>
        </w:rPr>
        <w:t>Herrin, J., Harris, K. G., Kenward, K., Hines, S., Joshi, M. S., &amp; Frosch, D. L. (2016). Patient and family engagement: a survey of US hospital practices. </w:t>
      </w:r>
      <w:r w:rsidRPr="00DF708D">
        <w:rPr>
          <w:rFonts w:ascii="Times New Roman" w:hAnsi="Times New Roman" w:cs="Times New Roman"/>
          <w:i/>
          <w:iCs/>
          <w:color w:val="222222"/>
          <w:sz w:val="24"/>
          <w:szCs w:val="24"/>
          <w:shd w:val="clear" w:color="auto" w:fill="FFFFFF"/>
        </w:rPr>
        <w:t>BMJ quality &amp; safety</w:t>
      </w:r>
      <w:r w:rsidRPr="00DF708D">
        <w:rPr>
          <w:rFonts w:ascii="Times New Roman" w:hAnsi="Times New Roman" w:cs="Times New Roman"/>
          <w:color w:val="222222"/>
          <w:sz w:val="24"/>
          <w:szCs w:val="24"/>
          <w:shd w:val="clear" w:color="auto" w:fill="FFFFFF"/>
        </w:rPr>
        <w:t>, </w:t>
      </w:r>
      <w:r w:rsidRPr="00DF708D">
        <w:rPr>
          <w:rFonts w:ascii="Times New Roman" w:hAnsi="Times New Roman" w:cs="Times New Roman"/>
          <w:i/>
          <w:iCs/>
          <w:color w:val="222222"/>
          <w:sz w:val="24"/>
          <w:szCs w:val="24"/>
          <w:shd w:val="clear" w:color="auto" w:fill="FFFFFF"/>
        </w:rPr>
        <w:t>25</w:t>
      </w:r>
      <w:r w:rsidRPr="00DF708D">
        <w:rPr>
          <w:rFonts w:ascii="Times New Roman" w:hAnsi="Times New Roman" w:cs="Times New Roman"/>
          <w:color w:val="222222"/>
          <w:sz w:val="24"/>
          <w:szCs w:val="24"/>
          <w:shd w:val="clear" w:color="auto" w:fill="FFFFFF"/>
        </w:rPr>
        <w:t>(3), 182-189.</w:t>
      </w:r>
    </w:p>
    <w:sectPr w:rsidR="00DF708D" w:rsidRPr="00DF708D" w:rsidSect="007F5F0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D9B" w:rsidRDefault="00C96D9B" w:rsidP="007F5F05">
      <w:pPr>
        <w:spacing w:after="0" w:line="240" w:lineRule="auto"/>
      </w:pPr>
      <w:r>
        <w:separator/>
      </w:r>
    </w:p>
  </w:endnote>
  <w:endnote w:type="continuationSeparator" w:id="1">
    <w:p w:rsidR="00C96D9B" w:rsidRDefault="00C96D9B" w:rsidP="007F5F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D9B" w:rsidRDefault="00C96D9B" w:rsidP="007F5F05">
      <w:pPr>
        <w:spacing w:after="0" w:line="240" w:lineRule="auto"/>
      </w:pPr>
      <w:r>
        <w:separator/>
      </w:r>
    </w:p>
  </w:footnote>
  <w:footnote w:type="continuationSeparator" w:id="1">
    <w:p w:rsidR="00C96D9B" w:rsidRDefault="00C96D9B" w:rsidP="007F5F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2619704"/>
      <w:docPartObj>
        <w:docPartGallery w:val="Page Numbers (Top of Page)"/>
        <w:docPartUnique/>
      </w:docPartObj>
    </w:sdtPr>
    <w:sdtContent>
      <w:p w:rsidR="007F5F05" w:rsidRPr="003E6277" w:rsidRDefault="007F5F05" w:rsidP="003E6277">
        <w:pPr>
          <w:pStyle w:val="Header"/>
          <w:spacing w:line="480" w:lineRule="auto"/>
          <w:jc w:val="right"/>
          <w:rPr>
            <w:rFonts w:ascii="Times New Roman" w:hAnsi="Times New Roman" w:cs="Times New Roman"/>
            <w:sz w:val="24"/>
            <w:szCs w:val="24"/>
          </w:rPr>
        </w:pPr>
        <w:r w:rsidRPr="007F5F05">
          <w:rPr>
            <w:rFonts w:ascii="Times New Roman" w:hAnsi="Times New Roman" w:cs="Times New Roman"/>
            <w:sz w:val="24"/>
            <w:szCs w:val="24"/>
          </w:rPr>
          <w:t xml:space="preserve">THE PATIENT PROTECTION AND AFFORDABLE ACT                                                        </w:t>
        </w:r>
        <w:r w:rsidR="00522830" w:rsidRPr="007F5F05">
          <w:rPr>
            <w:rFonts w:ascii="Times New Roman" w:hAnsi="Times New Roman" w:cs="Times New Roman"/>
            <w:sz w:val="24"/>
            <w:szCs w:val="24"/>
          </w:rPr>
          <w:fldChar w:fldCharType="begin"/>
        </w:r>
        <w:r w:rsidRPr="007F5F05">
          <w:rPr>
            <w:rFonts w:ascii="Times New Roman" w:hAnsi="Times New Roman" w:cs="Times New Roman"/>
            <w:sz w:val="24"/>
            <w:szCs w:val="24"/>
          </w:rPr>
          <w:instrText xml:space="preserve"> PAGE   \* MERGEFORMAT </w:instrText>
        </w:r>
        <w:r w:rsidR="00522830" w:rsidRPr="007F5F05">
          <w:rPr>
            <w:rFonts w:ascii="Times New Roman" w:hAnsi="Times New Roman" w:cs="Times New Roman"/>
            <w:sz w:val="24"/>
            <w:szCs w:val="24"/>
          </w:rPr>
          <w:fldChar w:fldCharType="separate"/>
        </w:r>
        <w:r w:rsidR="00DC577D">
          <w:rPr>
            <w:rFonts w:ascii="Times New Roman" w:hAnsi="Times New Roman" w:cs="Times New Roman"/>
            <w:noProof/>
            <w:sz w:val="24"/>
            <w:szCs w:val="24"/>
          </w:rPr>
          <w:t>4</w:t>
        </w:r>
        <w:r w:rsidR="00522830" w:rsidRPr="007F5F0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05" w:rsidRPr="007F5F05" w:rsidRDefault="007F5F05" w:rsidP="007F5F05">
    <w:pPr>
      <w:pStyle w:val="Header"/>
      <w:spacing w:line="480" w:lineRule="auto"/>
      <w:jc w:val="right"/>
      <w:rPr>
        <w:rFonts w:ascii="Times New Roman" w:hAnsi="Times New Roman" w:cs="Times New Roman"/>
        <w:sz w:val="24"/>
        <w:szCs w:val="24"/>
      </w:rPr>
    </w:pPr>
    <w:r w:rsidRPr="007F5F05">
      <w:rPr>
        <w:rFonts w:ascii="Times New Roman" w:hAnsi="Times New Roman" w:cs="Times New Roman"/>
        <w:sz w:val="24"/>
        <w:szCs w:val="24"/>
      </w:rPr>
      <w:t xml:space="preserve">Running head: THE PATIENT PROTECTION AND AFFORDABLE ACT                                </w:t>
    </w:r>
    <w:sdt>
      <w:sdtPr>
        <w:rPr>
          <w:rFonts w:ascii="Times New Roman" w:hAnsi="Times New Roman" w:cs="Times New Roman"/>
          <w:sz w:val="24"/>
          <w:szCs w:val="24"/>
        </w:rPr>
        <w:id w:val="102619705"/>
        <w:docPartObj>
          <w:docPartGallery w:val="Page Numbers (Top of Page)"/>
          <w:docPartUnique/>
        </w:docPartObj>
      </w:sdtPr>
      <w:sdtContent>
        <w:r w:rsidR="00522830" w:rsidRPr="007F5F05">
          <w:rPr>
            <w:rFonts w:ascii="Times New Roman" w:hAnsi="Times New Roman" w:cs="Times New Roman"/>
            <w:sz w:val="24"/>
            <w:szCs w:val="24"/>
          </w:rPr>
          <w:fldChar w:fldCharType="begin"/>
        </w:r>
        <w:r w:rsidRPr="007F5F05">
          <w:rPr>
            <w:rFonts w:ascii="Times New Roman" w:hAnsi="Times New Roman" w:cs="Times New Roman"/>
            <w:sz w:val="24"/>
            <w:szCs w:val="24"/>
          </w:rPr>
          <w:instrText xml:space="preserve"> PAGE   \* MERGEFORMAT </w:instrText>
        </w:r>
        <w:r w:rsidR="00522830" w:rsidRPr="007F5F05">
          <w:rPr>
            <w:rFonts w:ascii="Times New Roman" w:hAnsi="Times New Roman" w:cs="Times New Roman"/>
            <w:sz w:val="24"/>
            <w:szCs w:val="24"/>
          </w:rPr>
          <w:fldChar w:fldCharType="separate"/>
        </w:r>
        <w:r w:rsidR="00DC577D">
          <w:rPr>
            <w:rFonts w:ascii="Times New Roman" w:hAnsi="Times New Roman" w:cs="Times New Roman"/>
            <w:noProof/>
            <w:sz w:val="24"/>
            <w:szCs w:val="24"/>
          </w:rPr>
          <w:t>1</w:t>
        </w:r>
        <w:r w:rsidR="00522830" w:rsidRPr="007F5F05">
          <w:rPr>
            <w:rFonts w:ascii="Times New Roman" w:hAnsi="Times New Roman" w:cs="Times New Roman"/>
            <w:sz w:val="24"/>
            <w:szCs w:val="24"/>
          </w:rPr>
          <w:fldChar w:fldCharType="end"/>
        </w:r>
      </w:sdtContent>
    </w:sdt>
  </w:p>
  <w:p w:rsidR="007F5F05" w:rsidRDefault="007F5F0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95AF0"/>
    <w:rsid w:val="000C39D4"/>
    <w:rsid w:val="000D18E8"/>
    <w:rsid w:val="00177588"/>
    <w:rsid w:val="0030651B"/>
    <w:rsid w:val="003E6277"/>
    <w:rsid w:val="00403BA3"/>
    <w:rsid w:val="00522830"/>
    <w:rsid w:val="00536113"/>
    <w:rsid w:val="00556167"/>
    <w:rsid w:val="005809A3"/>
    <w:rsid w:val="00614A07"/>
    <w:rsid w:val="0065152A"/>
    <w:rsid w:val="00695AF0"/>
    <w:rsid w:val="007B7A8B"/>
    <w:rsid w:val="007F5F05"/>
    <w:rsid w:val="0089223F"/>
    <w:rsid w:val="009C3A7D"/>
    <w:rsid w:val="009F6BC9"/>
    <w:rsid w:val="00C42CAF"/>
    <w:rsid w:val="00C72141"/>
    <w:rsid w:val="00C96D9B"/>
    <w:rsid w:val="00CA7B5C"/>
    <w:rsid w:val="00D95645"/>
    <w:rsid w:val="00DC4C38"/>
    <w:rsid w:val="00DC577D"/>
    <w:rsid w:val="00DF708D"/>
    <w:rsid w:val="00E177A4"/>
    <w:rsid w:val="00E430F3"/>
    <w:rsid w:val="00E84FED"/>
    <w:rsid w:val="00F07948"/>
    <w:rsid w:val="00F31C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F05"/>
  </w:style>
  <w:style w:type="paragraph" w:styleId="Footer">
    <w:name w:val="footer"/>
    <w:basedOn w:val="Normal"/>
    <w:link w:val="FooterChar"/>
    <w:uiPriority w:val="99"/>
    <w:semiHidden/>
    <w:unhideWhenUsed/>
    <w:rsid w:val="007F5F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5F0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3</cp:revision>
  <dcterms:created xsi:type="dcterms:W3CDTF">2020-07-21T19:37:00Z</dcterms:created>
  <dcterms:modified xsi:type="dcterms:W3CDTF">2020-07-21T19:38:00Z</dcterms:modified>
</cp:coreProperties>
</file>